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Style"/>
        <w:rPr/>
      </w:pPr>
      <w:r>
        <w:rPr/>
        <w:t>Algorytm przekazywania środków Państwowego Funduszu Rehabilitacji Osób Niepełnosprawnych samorządom wojewódzkim i powiatowym.</w:t>
      </w:r>
    </w:p>
    <w:p>
      <w:pPr>
        <w:pStyle w:val="NormalStyle"/>
        <w:rPr/>
      </w:pPr>
      <w:r>
        <w:rPr/>
        <w:t>Dz.U.2019.1605 t.j. z dnia 2019.08.23</w:t>
      </w:r>
    </w:p>
    <w:p>
      <w:pPr>
        <w:pStyle w:val="NormalStyle"/>
        <w:rPr/>
      </w:pPr>
      <w:r>
        <w:rPr/>
        <w:t>Status: Akt obowiązujący</w:t>
      </w:r>
    </w:p>
    <w:p>
      <w:pPr>
        <w:pStyle w:val="NormalStyle"/>
        <w:rPr/>
      </w:pPr>
      <w:r>
        <w:rPr/>
        <w:t>Wersja od: 7 czerwca 2023r.</w:t>
      </w:r>
    </w:p>
    <w:p>
      <w:pPr>
        <w:pStyle w:val="Normal"/>
        <w:spacing w:before="0" w:after="0"/>
        <w:ind w:left="0" w:hanging="0"/>
        <w:jc w:val="left"/>
        <w:textAlignment w:val="auto"/>
        <w:rPr/>
      </w:pPr>
      <w:r>
        <w:rPr/>
      </w:r>
    </w:p>
    <w:p>
      <w:pPr>
        <w:pStyle w:val="Normal"/>
        <w:spacing w:before="0" w:after="0"/>
        <w:ind w:left="0" w:hanging="0"/>
        <w:jc w:val="left"/>
        <w:textAlignment w:val="auto"/>
        <w:rPr/>
      </w:pPr>
      <w:r>
        <w:rPr/>
        <w:br/>
      </w:r>
    </w:p>
    <w:p>
      <w:pPr>
        <w:pStyle w:val="Normal"/>
        <w:spacing w:before="60" w:after="0"/>
        <w:ind w:left="0" w:hanging="0"/>
        <w:jc w:val="center"/>
        <w:textAlignment w:val="auto"/>
        <w:rPr/>
      </w:pPr>
      <w:r>
        <w:rPr>
          <w:b/>
          <w:i w:val="false"/>
          <w:color w:val="000000"/>
          <w:sz w:val="24"/>
          <w:lang w:val="pl-PL"/>
        </w:rPr>
        <w:t>ROZPORZĄDZENIE</w:t>
      </w:r>
    </w:p>
    <w:p>
      <w:pPr>
        <w:pStyle w:val="Normal"/>
        <w:spacing w:before="0" w:after="0"/>
        <w:ind w:left="0" w:hanging="0"/>
        <w:jc w:val="center"/>
        <w:textAlignment w:val="auto"/>
        <w:rPr/>
      </w:pPr>
      <w:r>
        <w:rPr>
          <w:b/>
          <w:i w:val="false"/>
          <w:color w:val="000000"/>
          <w:sz w:val="24"/>
          <w:lang w:val="pl-PL"/>
        </w:rPr>
        <w:t>RADY MINISTRÓW</w:t>
      </w:r>
    </w:p>
    <w:p>
      <w:pPr>
        <w:pStyle w:val="Normal"/>
        <w:spacing w:before="80" w:after="0"/>
        <w:ind w:left="0" w:hanging="0"/>
        <w:jc w:val="center"/>
        <w:textAlignment w:val="auto"/>
        <w:rPr/>
      </w:pPr>
      <w:r>
        <w:rPr>
          <w:b/>
          <w:i w:val="false"/>
          <w:color w:val="000000"/>
          <w:sz w:val="24"/>
          <w:lang w:val="pl-PL"/>
        </w:rPr>
        <w:t>z dnia 13 maja 2003 r.</w:t>
      </w:r>
    </w:p>
    <w:p>
      <w:pPr>
        <w:pStyle w:val="Normal"/>
        <w:spacing w:before="80" w:after="0"/>
        <w:ind w:left="0" w:hanging="0"/>
        <w:jc w:val="center"/>
        <w:textAlignment w:val="auto"/>
        <w:rPr/>
      </w:pPr>
      <w:r>
        <w:rPr>
          <w:b/>
          <w:i w:val="false"/>
          <w:color w:val="000000"/>
          <w:sz w:val="24"/>
          <w:lang w:val="pl-PL"/>
        </w:rPr>
        <w:t>w sprawie algorytmu przekazywania środków Państwowego Funduszu Rehabilitacji Osób Niepełnosprawnych samorządom wojewódzkim i powiatowym</w:t>
      </w:r>
    </w:p>
    <w:p>
      <w:pPr>
        <w:pStyle w:val="Normal"/>
        <w:spacing w:before="80" w:after="240"/>
        <w:ind w:left="0" w:hanging="0"/>
        <w:jc w:val="center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 xml:space="preserve">Na podstawie </w:t>
      </w:r>
      <w:r>
        <w:rPr>
          <w:b w:val="false"/>
          <w:i w:val="false"/>
          <w:color w:val="1B1B1B"/>
          <w:sz w:val="24"/>
          <w:lang w:val="pl-PL"/>
        </w:rPr>
        <w:t>art. 48 ust. 2</w:t>
      </w:r>
      <w:r>
        <w:rPr>
          <w:b w:val="false"/>
          <w:i w:val="false"/>
          <w:color w:val="000000"/>
          <w:sz w:val="24"/>
          <w:lang w:val="pl-PL"/>
        </w:rPr>
        <w:t xml:space="preserve"> ustawy z dnia 27 sierpnia 1997 r. o rehabilitacji zawodowej i społecznej oraz zatrudnianiu osób niepełnosprawnych (Dz. U. z 2019 r. poz. 1172 i 1495) zarządza się, co następuje:</w:t>
      </w:r>
    </w:p>
    <w:p>
      <w:pPr>
        <w:pStyle w:val="Normal"/>
        <w:spacing w:before="26" w:after="240"/>
        <w:ind w:left="0" w:hanging="0"/>
        <w:jc w:val="left"/>
        <w:textAlignment w:val="auto"/>
        <w:rPr/>
      </w:pPr>
      <w:r>
        <w:rPr>
          <w:b/>
          <w:i w:val="false"/>
          <w:color w:val="000000"/>
          <w:sz w:val="24"/>
          <w:lang w:val="pl-PL"/>
        </w:rPr>
        <w:t>§  1. </w:t>
      </w:r>
      <w:r>
        <w:rPr>
          <w:b w:val="false"/>
          <w:i w:val="false"/>
          <w:color w:val="000000"/>
          <w:sz w:val="24"/>
          <w:lang w:val="pl-PL"/>
        </w:rPr>
        <w:t xml:space="preserve">Rozporządzenie określa algorytm przekazywania środków Państwowego Funduszu Rehabilitacji Osób Niepełnosprawnych, zwanego dalej "Funduszem", samorządom wojewódzkim i powiatowym na realizację zadań lub rodzajów zadań określonych </w:t>
      </w:r>
      <w:r>
        <w:rPr>
          <w:b w:val="false"/>
          <w:i w:val="false"/>
          <w:color w:val="1B1B1B"/>
          <w:sz w:val="24"/>
          <w:lang w:val="pl-PL"/>
        </w:rPr>
        <w:t>ustawą</w:t>
      </w:r>
      <w:r>
        <w:rPr>
          <w:b w:val="false"/>
          <w:i w:val="false"/>
          <w:color w:val="000000"/>
          <w:sz w:val="24"/>
          <w:lang w:val="pl-PL"/>
        </w:rPr>
        <w:t xml:space="preserve"> z dnia 27 sierpnia 1997 r. o rehabilitacji zawodowej i społecznej oraz zatrudnianiu osób niepełnosprawnych, zwanej dalej "ustawą", a także zasady ustalania maksymalnych wysokości kwot zobowiązań przypadających do wypłaty na dany rok.</w:t>
      </w:r>
    </w:p>
    <w:p>
      <w:pPr>
        <w:pStyle w:val="Normal"/>
        <w:spacing w:before="26" w:after="0"/>
        <w:ind w:left="0" w:hanging="0"/>
        <w:jc w:val="left"/>
        <w:textAlignment w:val="auto"/>
        <w:rPr/>
      </w:pPr>
      <w:r>
        <w:rPr>
          <w:b/>
          <w:i w:val="false"/>
          <w:color w:val="000000"/>
          <w:sz w:val="24"/>
          <w:lang w:val="pl-PL"/>
        </w:rPr>
        <w:t>§  2. </w:t>
      </w:r>
      <w:r>
        <w:rPr>
          <w:b w:val="false"/>
          <w:i w:val="false"/>
          <w:color w:val="000000"/>
          <w:sz w:val="24"/>
          <w:lang w:val="pl-PL"/>
        </w:rPr>
        <w:t>Prezes Zarządu Funduszu przekazuje środki Funduszu samorządowi:</w:t>
      </w:r>
    </w:p>
    <w:p>
      <w:pPr>
        <w:pStyle w:val="Normal"/>
        <w:spacing w:before="26" w:after="0"/>
        <w:ind w:left="373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 xml:space="preserve">1) wojewódzkiemu - na realizację zadań określonych w </w:t>
      </w:r>
      <w:r>
        <w:rPr>
          <w:b w:val="false"/>
          <w:i w:val="false"/>
          <w:color w:val="1B1B1B"/>
          <w:sz w:val="24"/>
          <w:lang w:val="pl-PL"/>
        </w:rPr>
        <w:t>art. 35 ust. 1 pkt 5</w:t>
      </w:r>
      <w:r>
        <w:rPr>
          <w:b w:val="false"/>
          <w:i w:val="false"/>
          <w:color w:val="000000"/>
          <w:sz w:val="24"/>
          <w:lang w:val="pl-PL"/>
        </w:rPr>
        <w:t xml:space="preserve"> i </w:t>
      </w:r>
      <w:r>
        <w:rPr>
          <w:b w:val="false"/>
          <w:i w:val="false"/>
          <w:color w:val="1B1B1B"/>
          <w:sz w:val="24"/>
          <w:lang w:val="pl-PL"/>
        </w:rPr>
        <w:t>6</w:t>
      </w:r>
      <w:r>
        <w:rPr>
          <w:b w:val="false"/>
          <w:i w:val="false"/>
          <w:color w:val="000000"/>
          <w:sz w:val="24"/>
          <w:lang w:val="pl-PL"/>
        </w:rPr>
        <w:t xml:space="preserve"> oraz </w:t>
      </w:r>
      <w:r>
        <w:rPr>
          <w:b w:val="false"/>
          <w:i w:val="false"/>
          <w:color w:val="1B1B1B"/>
          <w:sz w:val="24"/>
          <w:lang w:val="pl-PL"/>
        </w:rPr>
        <w:t>art. 36</w:t>
      </w:r>
      <w:r>
        <w:rPr>
          <w:b w:val="false"/>
          <w:i w:val="false"/>
          <w:color w:val="000000"/>
          <w:sz w:val="24"/>
          <w:lang w:val="pl-PL"/>
        </w:rPr>
        <w:t xml:space="preserve"> ustawy;</w:t>
      </w:r>
    </w:p>
    <w:p>
      <w:pPr>
        <w:pStyle w:val="Normal"/>
        <w:spacing w:before="26" w:after="0"/>
        <w:ind w:left="373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 xml:space="preserve">2) powiatowemu - na realizację zadań określonych w </w:t>
      </w:r>
      <w:r>
        <w:rPr>
          <w:b w:val="false"/>
          <w:i w:val="false"/>
          <w:color w:val="1B1B1B"/>
          <w:sz w:val="24"/>
          <w:lang w:val="pl-PL"/>
        </w:rPr>
        <w:t>art. 11</w:t>
      </w:r>
      <w:r>
        <w:rPr>
          <w:b w:val="false"/>
          <w:i w:val="false"/>
          <w:color w:val="000000"/>
          <w:sz w:val="24"/>
          <w:lang w:val="pl-PL"/>
        </w:rPr>
        <w:t xml:space="preserve">, </w:t>
      </w:r>
      <w:r>
        <w:rPr>
          <w:b w:val="false"/>
          <w:i w:val="false"/>
          <w:color w:val="1B1B1B"/>
          <w:sz w:val="24"/>
          <w:lang w:val="pl-PL"/>
        </w:rPr>
        <w:t>art. 12a</w:t>
      </w:r>
      <w:r>
        <w:rPr>
          <w:b w:val="false"/>
          <w:i w:val="false"/>
          <w:color w:val="000000"/>
          <w:sz w:val="24"/>
          <w:lang w:val="pl-PL"/>
        </w:rPr>
        <w:t xml:space="preserve">, </w:t>
      </w:r>
      <w:r>
        <w:rPr>
          <w:b w:val="false"/>
          <w:i w:val="false"/>
          <w:color w:val="1B1B1B"/>
          <w:sz w:val="24"/>
          <w:lang w:val="pl-PL"/>
        </w:rPr>
        <w:t>art. 13</w:t>
      </w:r>
      <w:r>
        <w:rPr>
          <w:b w:val="false"/>
          <w:i w:val="false"/>
          <w:color w:val="000000"/>
          <w:sz w:val="24"/>
          <w:lang w:val="pl-PL"/>
        </w:rPr>
        <w:t xml:space="preserve">, </w:t>
      </w:r>
      <w:r>
        <w:rPr>
          <w:b w:val="false"/>
          <w:i w:val="false"/>
          <w:color w:val="1B1B1B"/>
          <w:sz w:val="24"/>
          <w:lang w:val="pl-PL"/>
        </w:rPr>
        <w:t>art. 26</w:t>
      </w:r>
      <w:r>
        <w:rPr>
          <w:b w:val="false"/>
          <w:i w:val="false"/>
          <w:color w:val="000000"/>
          <w:sz w:val="24"/>
          <w:lang w:val="pl-PL"/>
        </w:rPr>
        <w:t xml:space="preserve">, </w:t>
      </w:r>
      <w:r>
        <w:rPr>
          <w:b w:val="false"/>
          <w:i w:val="false"/>
          <w:color w:val="1B1B1B"/>
          <w:sz w:val="24"/>
          <w:lang w:val="pl-PL"/>
        </w:rPr>
        <w:t>art. 26d</w:t>
      </w:r>
      <w:r>
        <w:rPr>
          <w:b w:val="false"/>
          <w:i w:val="false"/>
          <w:color w:val="000000"/>
          <w:sz w:val="24"/>
          <w:lang w:val="pl-PL"/>
        </w:rPr>
        <w:t xml:space="preserve">, </w:t>
      </w:r>
      <w:r>
        <w:rPr>
          <w:b w:val="false"/>
          <w:i w:val="false"/>
          <w:color w:val="1B1B1B"/>
          <w:sz w:val="24"/>
          <w:lang w:val="pl-PL"/>
        </w:rPr>
        <w:t>art. 26e</w:t>
      </w:r>
      <w:r>
        <w:rPr>
          <w:b w:val="false"/>
          <w:i w:val="false"/>
          <w:color w:val="000000"/>
          <w:sz w:val="24"/>
          <w:lang w:val="pl-PL"/>
        </w:rPr>
        <w:t xml:space="preserve">, </w:t>
      </w:r>
      <w:r>
        <w:rPr>
          <w:b w:val="false"/>
          <w:i w:val="false"/>
          <w:color w:val="1B1B1B"/>
          <w:sz w:val="24"/>
          <w:lang w:val="pl-PL"/>
        </w:rPr>
        <w:t>art. 26g</w:t>
      </w:r>
      <w:r>
        <w:rPr>
          <w:b w:val="false"/>
          <w:i w:val="false"/>
          <w:color w:val="000000"/>
          <w:sz w:val="24"/>
          <w:lang w:val="pl-PL"/>
        </w:rPr>
        <w:t xml:space="preserve">, </w:t>
      </w:r>
      <w:r>
        <w:rPr>
          <w:b w:val="false"/>
          <w:i w:val="false"/>
          <w:color w:val="1B1B1B"/>
          <w:sz w:val="24"/>
          <w:lang w:val="pl-PL"/>
        </w:rPr>
        <w:t>art. 35a ust. 1 pkt 7</w:t>
      </w:r>
      <w:r>
        <w:rPr>
          <w:b w:val="false"/>
          <w:i w:val="false"/>
          <w:color w:val="000000"/>
          <w:sz w:val="24"/>
          <w:lang w:val="pl-PL"/>
        </w:rPr>
        <w:t xml:space="preserve"> i </w:t>
      </w:r>
      <w:r>
        <w:rPr>
          <w:b w:val="false"/>
          <w:i w:val="false"/>
          <w:color w:val="1B1B1B"/>
          <w:sz w:val="24"/>
          <w:lang w:val="pl-PL"/>
        </w:rPr>
        <w:t>8</w:t>
      </w:r>
      <w:r>
        <w:rPr>
          <w:b w:val="false"/>
          <w:i w:val="false"/>
          <w:color w:val="000000"/>
          <w:sz w:val="24"/>
          <w:lang w:val="pl-PL"/>
        </w:rPr>
        <w:t xml:space="preserve">, </w:t>
      </w:r>
      <w:r>
        <w:rPr>
          <w:b w:val="false"/>
          <w:i w:val="false"/>
          <w:color w:val="1B1B1B"/>
          <w:sz w:val="24"/>
          <w:lang w:val="pl-PL"/>
        </w:rPr>
        <w:t>art. 36</w:t>
      </w:r>
      <w:r>
        <w:rPr>
          <w:b w:val="false"/>
          <w:i w:val="false"/>
          <w:color w:val="000000"/>
          <w:sz w:val="24"/>
          <w:lang w:val="pl-PL"/>
        </w:rPr>
        <w:t xml:space="preserve">, </w:t>
      </w:r>
      <w:r>
        <w:rPr>
          <w:b w:val="false"/>
          <w:i w:val="false"/>
          <w:color w:val="1B1B1B"/>
          <w:sz w:val="24"/>
          <w:lang w:val="pl-PL"/>
        </w:rPr>
        <w:t>art. 38</w:t>
      </w:r>
      <w:r>
        <w:rPr>
          <w:b w:val="false"/>
          <w:i w:val="false"/>
          <w:color w:val="000000"/>
          <w:sz w:val="24"/>
          <w:lang w:val="pl-PL"/>
        </w:rPr>
        <w:t xml:space="preserve"> oraz </w:t>
      </w:r>
      <w:r>
        <w:rPr>
          <w:b w:val="false"/>
          <w:i w:val="false"/>
          <w:color w:val="1B1B1B"/>
          <w:sz w:val="24"/>
          <w:lang w:val="pl-PL"/>
        </w:rPr>
        <w:t>art. 40</w:t>
      </w:r>
      <w:r>
        <w:rPr>
          <w:b w:val="false"/>
          <w:i w:val="false"/>
          <w:color w:val="000000"/>
          <w:sz w:val="24"/>
          <w:lang w:val="pl-PL"/>
        </w:rPr>
        <w:t xml:space="preserve"> i </w:t>
      </w:r>
      <w:r>
        <w:rPr>
          <w:b w:val="false"/>
          <w:i w:val="false"/>
          <w:color w:val="1B1B1B"/>
          <w:sz w:val="24"/>
          <w:lang w:val="pl-PL"/>
        </w:rPr>
        <w:t>art. 41</w:t>
      </w:r>
      <w:r>
        <w:rPr>
          <w:b w:val="false"/>
          <w:i w:val="false"/>
          <w:color w:val="000000"/>
          <w:sz w:val="24"/>
          <w:lang w:val="pl-PL"/>
        </w:rPr>
        <w:t xml:space="preserve"> ustawy.</w:t>
      </w:r>
    </w:p>
    <w:p>
      <w:pPr>
        <w:pStyle w:val="Normal"/>
        <w:spacing w:before="26" w:after="0"/>
        <w:ind w:left="0" w:hanging="0"/>
        <w:jc w:val="left"/>
        <w:textAlignment w:val="auto"/>
        <w:rPr/>
      </w:pPr>
      <w:r>
        <w:rPr>
          <w:b/>
          <w:i w:val="false"/>
          <w:color w:val="000000"/>
          <w:sz w:val="24"/>
          <w:lang w:val="pl-PL"/>
        </w:rPr>
        <w:t xml:space="preserve">§  3.  </w:t>
      </w:r>
      <w:r>
        <w:rPr>
          <w:b/>
          <w:i w:val="false"/>
          <w:color w:val="000000"/>
          <w:sz w:val="24"/>
          <w:vertAlign w:val="superscript"/>
          <w:lang w:val="pl-PL"/>
        </w:rPr>
        <w:t>1</w:t>
      </w:r>
      <w:r>
        <w:rPr>
          <w:b/>
          <w:i w:val="false"/>
          <w:color w:val="000000"/>
          <w:sz w:val="24"/>
          <w:lang w:val="pl-PL"/>
        </w:rPr>
        <w:t xml:space="preserve"> </w:t>
      </w:r>
      <w:r>
        <w:rPr>
          <w:b w:val="false"/>
          <w:i w:val="false"/>
          <w:color w:val="000000"/>
          <w:sz w:val="24"/>
          <w:lang w:val="pl-PL"/>
        </w:rPr>
        <w:t> Wysokość środków Funduszu dla samorządu wojewódzkiego na realizację zadań wymienionych w § 2 pkt 1 ustala się według następującego wzoru algorytmu:</w:t>
      </w:r>
    </w:p>
    <w:p>
      <w:pPr>
        <w:pStyle w:val="Normal"/>
        <w:spacing w:before="25" w:after="0"/>
        <w:ind w:left="0" w:hanging="0"/>
        <w:jc w:val="center"/>
        <w:textAlignment w:val="auto"/>
        <w:rPr/>
      </w:pPr>
      <w:r>
        <w:rPr/>
        <w:drawing>
          <wp:inline distT="0" distB="0" distL="0" distR="0">
            <wp:extent cx="4609465" cy="723265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46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gdzie znaczenie poszczególnych symboli jest następujące: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S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w</w:t>
      </w:r>
      <w:r>
        <w:rPr>
          <w:b w:val="false"/>
          <w:i w:val="false"/>
          <w:color w:val="000000"/>
          <w:sz w:val="24"/>
          <w:lang w:val="pl-PL"/>
        </w:rPr>
        <w:t xml:space="preserve"> - roczna wysokość środków Funduszu dla województwa w przeznaczonych na zadania z zakresu rehabilitacji zawodowej i społecznej, które są finansowane ze środków Funduszu,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F - kwota środków przewidzianych w planie finansowym Funduszu na dany rok na realizację zadań z zakresu rehabilitacji zawodowej i społecznej przez samorządy wojewódzkie,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B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w</w:t>
      </w:r>
      <w:r>
        <w:rPr>
          <w:b w:val="false"/>
          <w:i w:val="false"/>
          <w:color w:val="000000"/>
          <w:sz w:val="24"/>
          <w:lang w:val="pl-PL"/>
        </w:rPr>
        <w:t xml:space="preserve"> - liczba osób niepełnosprawnych bezrobotnych i osób niepełnosprawnych poszukujących pracy w województwie w, wyliczona jako średnia z trzech ostatnich miesięcy, według stanu na koniec miesiąca na podstawie dostępnych danych Głównego Urzędu Statystycznego, zwanego dalej "GUS",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l - liczba województw,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N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w</w:t>
      </w:r>
      <w:r>
        <w:rPr>
          <w:b w:val="false"/>
          <w:i w:val="false"/>
          <w:color w:val="000000"/>
          <w:sz w:val="24"/>
          <w:lang w:val="pl-PL"/>
        </w:rPr>
        <w:t xml:space="preserve"> - liczba osób niepełnosprawnych w województwie w, gdzie: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/>
        <w:drawing>
          <wp:inline distT="0" distB="0" distL="0" distR="0">
            <wp:extent cx="1078865" cy="647065"/>
            <wp:effectExtent l="0" t="0" r="0" b="0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N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p</w:t>
      </w:r>
      <w:r>
        <w:rPr>
          <w:b w:val="false"/>
          <w:i w:val="false"/>
          <w:color w:val="000000"/>
          <w:sz w:val="24"/>
          <w:lang w:val="pl-PL"/>
        </w:rPr>
        <w:t xml:space="preserve"> - liczba osób niepełnosprawnych w powiecie p,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gdzie: N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p</w:t>
      </w:r>
      <w:r>
        <w:rPr>
          <w:b w:val="false"/>
          <w:i w:val="false"/>
          <w:color w:val="000000"/>
          <w:sz w:val="24"/>
          <w:lang w:val="pl-PL"/>
        </w:rPr>
        <w:t xml:space="preserve"> = N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dp</w:t>
      </w:r>
      <w:r>
        <w:rPr>
          <w:b w:val="false"/>
          <w:i w:val="false"/>
          <w:color w:val="000000"/>
          <w:sz w:val="24"/>
          <w:lang w:val="pl-PL"/>
        </w:rPr>
        <w:t xml:space="preserve"> +N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mp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N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dp</w:t>
      </w:r>
      <w:r>
        <w:rPr>
          <w:b w:val="false"/>
          <w:i w:val="false"/>
          <w:color w:val="000000"/>
          <w:sz w:val="24"/>
          <w:lang w:val="pl-PL"/>
        </w:rPr>
        <w:t xml:space="preserve"> - liczba osób niepełnosprawnych w wieku 15 lat i więcej w powiecie p,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gdzie N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dP</w:t>
      </w:r>
      <w:r>
        <w:rPr>
          <w:b w:val="false"/>
          <w:i w:val="false"/>
          <w:color w:val="000000"/>
          <w:sz w:val="24"/>
          <w:lang w:val="pl-PL"/>
        </w:rPr>
        <w:t xml:space="preserve"> = D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 xml:space="preserve">p </w:t>
      </w:r>
      <w:r>
        <w:rPr>
          <w:b w:val="false"/>
          <w:i w:val="false"/>
          <w:color w:val="000000"/>
          <w:sz w:val="24"/>
          <w:lang w:val="pl-PL"/>
        </w:rPr>
        <w:t>x a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d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a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d</w:t>
      </w:r>
      <w:r>
        <w:rPr>
          <w:b w:val="false"/>
          <w:i w:val="false"/>
          <w:color w:val="000000"/>
          <w:sz w:val="24"/>
          <w:lang w:val="pl-PL"/>
        </w:rPr>
        <w:t xml:space="preserve"> - wskaźnik częstości niepełnosprawności orzeczonej wśród osób w wieku 15 lat i więcej w powiecie p według dostępnych danych GUS,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D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p</w:t>
      </w:r>
      <w:r>
        <w:rPr>
          <w:b w:val="false"/>
          <w:i w:val="false"/>
          <w:color w:val="000000"/>
          <w:sz w:val="24"/>
          <w:lang w:val="pl-PL"/>
        </w:rPr>
        <w:t xml:space="preserve"> - liczba osób w wieku 15 lat i więcej w powiecie p na podstawie dostępnych danych GUS,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N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mp</w:t>
      </w:r>
      <w:r>
        <w:rPr>
          <w:b w:val="false"/>
          <w:i w:val="false"/>
          <w:color w:val="000000"/>
          <w:sz w:val="24"/>
          <w:lang w:val="pl-PL"/>
        </w:rPr>
        <w:t xml:space="preserve"> - liczba niepełnosprawnych dzieci w wieku 0-14 lat w powiecie p,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gdzie: N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mp</w:t>
      </w:r>
      <w:r>
        <w:rPr>
          <w:b w:val="false"/>
          <w:i w:val="false"/>
          <w:color w:val="000000"/>
          <w:sz w:val="24"/>
          <w:lang w:val="pl-PL"/>
        </w:rPr>
        <w:t xml:space="preserve"> = M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p</w:t>
      </w:r>
      <w:r>
        <w:rPr>
          <w:b w:val="false"/>
          <w:i w:val="false"/>
          <w:color w:val="000000"/>
          <w:sz w:val="24"/>
          <w:lang w:val="pl-PL"/>
        </w:rPr>
        <w:t xml:space="preserve"> x a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m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M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p</w:t>
      </w:r>
      <w:r>
        <w:rPr>
          <w:b w:val="false"/>
          <w:i w:val="false"/>
          <w:color w:val="000000"/>
          <w:sz w:val="24"/>
          <w:lang w:val="pl-PL"/>
        </w:rPr>
        <w:t xml:space="preserve"> - liczba dzieci w wieku 0-14 lat w powiecie p, na podstawie dostępnych danych GUS,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a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m</w:t>
      </w:r>
      <w:r>
        <w:rPr>
          <w:b w:val="false"/>
          <w:i w:val="false"/>
          <w:color w:val="000000"/>
          <w:sz w:val="24"/>
          <w:lang w:val="pl-PL"/>
        </w:rPr>
        <w:t xml:space="preserve"> - wskaźnik częstości niepełnosprawności orzeczonej wśród dzieci w wieku 0-14 lat w kraju na podstawie dostępnych danych GUS,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N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mw</w:t>
      </w:r>
      <w:r>
        <w:rPr>
          <w:b w:val="false"/>
          <w:i w:val="false"/>
          <w:color w:val="000000"/>
          <w:sz w:val="24"/>
          <w:lang w:val="pl-PL"/>
        </w:rPr>
        <w:t xml:space="preserve"> - środki przeznaczone na dofinansowanie zobowiązań dotyczących kosztów działania zakładów aktywności zawodowej dla województwa w wyliczone według wzoru: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H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w</w:t>
      </w:r>
      <w:r>
        <w:rPr>
          <w:b w:val="false"/>
          <w:i w:val="false"/>
          <w:color w:val="000000"/>
          <w:sz w:val="24"/>
          <w:lang w:val="pl-PL"/>
        </w:rPr>
        <w:t xml:space="preserve"> = U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w</w:t>
      </w:r>
      <w:r>
        <w:rPr>
          <w:b w:val="false"/>
          <w:i w:val="false"/>
          <w:color w:val="000000"/>
          <w:sz w:val="24"/>
          <w:lang w:val="pl-PL"/>
        </w:rPr>
        <w:t xml:space="preserve"> x K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U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w</w:t>
      </w:r>
      <w:r>
        <w:rPr>
          <w:b w:val="false"/>
          <w:i w:val="false"/>
          <w:color w:val="000000"/>
          <w:sz w:val="24"/>
          <w:lang w:val="pl-PL"/>
        </w:rPr>
        <w:t xml:space="preserve"> - liczba zatrudnionych osób niepełnosprawnych zaliczonych do znacznego lub umiarkowanego stopnia niepełnosprawności zatrudnionych w zakładach aktywności zawodowej, wynikająca z podpisanych umów, których stroną jest województwo w do dnia 31 grudnia roku poprzedzającego rok, na który jest obliczany algorytm,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K - kwota na dofinansowanie kosztów rocznego pobytu jednej osoby niepełnosprawnej zaliczonej do znacznego lub umiarkowanego stopnia niepełnosprawności zatrudnionej w zakładzie aktywności zawodowej, w wysokości: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1) 222 750 zł w 2019 r.;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2) 25 000 zł w 2020 r. i 2021 r.;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3) 28 500 zł w 2022 r.;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4) 31 000 zł w 2023 r. i w latach następnych.</w:t>
      </w:r>
    </w:p>
    <w:p>
      <w:pPr>
        <w:pStyle w:val="Normal"/>
        <w:spacing w:before="26" w:after="0"/>
        <w:ind w:left="0" w:hanging="0"/>
        <w:jc w:val="left"/>
        <w:textAlignment w:val="auto"/>
        <w:rPr/>
      </w:pPr>
      <w:r>
        <w:rPr>
          <w:b/>
          <w:i w:val="false"/>
          <w:color w:val="000000"/>
          <w:sz w:val="24"/>
          <w:lang w:val="pl-PL"/>
        </w:rPr>
        <w:t>§  4. </w:t>
      </w:r>
      <w:r>
        <w:rPr>
          <w:b w:val="false"/>
          <w:i w:val="false"/>
          <w:color w:val="000000"/>
          <w:sz w:val="24"/>
          <w:lang w:val="pl-PL"/>
        </w:rPr>
        <w:t>Wysokość środków Funduszu dla samorządu powiatowego na realizację zadań wymienionych w § 2 pkt 2 ustala się według następującego wzoru algorytmu:</w:t>
      </w:r>
    </w:p>
    <w:p>
      <w:pPr>
        <w:pStyle w:val="Normal"/>
        <w:spacing w:before="25" w:after="0"/>
        <w:ind w:left="0" w:hanging="0"/>
        <w:jc w:val="center"/>
        <w:textAlignment w:val="auto"/>
        <w:rPr/>
      </w:pPr>
      <w:r>
        <w:rPr/>
        <w:drawing>
          <wp:inline distT="0" distB="0" distL="0" distR="0">
            <wp:extent cx="4544695" cy="723265"/>
            <wp:effectExtent l="0" t="0" r="0" b="0"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9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gdzie znaczenie poszczególnych symboli jest następujące: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S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p</w:t>
      </w:r>
      <w:r>
        <w:rPr>
          <w:b w:val="false"/>
          <w:i w:val="false"/>
          <w:color w:val="000000"/>
          <w:sz w:val="24"/>
          <w:lang w:val="pl-PL"/>
        </w:rPr>
        <w:t xml:space="preserve"> - roczna wysokość środków Funduszu dla powiatu p przeznaczonych na zadania z zakresu rehabilitacji zawodowej i społecznej, które są finansowane ze środków Funduszu,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R - kwota środków przewidzianych w planie finansowym Funduszu na dany rok na realizację zadań z zakresu rehabilitacji zawodowej i społecznej przez samorządy powiatowe,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B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p</w:t>
      </w:r>
      <w:r>
        <w:rPr>
          <w:b w:val="false"/>
          <w:i w:val="false"/>
          <w:color w:val="000000"/>
          <w:sz w:val="24"/>
          <w:lang w:val="pl-PL"/>
        </w:rPr>
        <w:t xml:space="preserve"> - liczba osób niepełnosprawnych bezrobotnych i osób niepełnosprawnych poszukujących pracy w powiecie p. wyliczona jako średnia z trzech ostatnich miesięcy, według stanu na koniec miesiąca na podstawie dostępnych danych GUS,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L - liczba powiatów,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N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p</w:t>
      </w:r>
      <w:r>
        <w:rPr>
          <w:b w:val="false"/>
          <w:i w:val="false"/>
          <w:color w:val="000000"/>
          <w:sz w:val="24"/>
          <w:lang w:val="pl-PL"/>
        </w:rPr>
        <w:t xml:space="preserve"> - liczba osób niepełnosprawnych w powiecie p,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gdzie: N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p</w:t>
      </w:r>
      <w:r>
        <w:rPr>
          <w:b w:val="false"/>
          <w:i w:val="false"/>
          <w:color w:val="000000"/>
          <w:sz w:val="24"/>
          <w:lang w:val="pl-PL"/>
        </w:rPr>
        <w:t xml:space="preserve"> =N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dp</w:t>
      </w:r>
      <w:r>
        <w:rPr>
          <w:b w:val="false"/>
          <w:i w:val="false"/>
          <w:color w:val="000000"/>
          <w:sz w:val="24"/>
          <w:lang w:val="pl-PL"/>
        </w:rPr>
        <w:t xml:space="preserve"> +N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mp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N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dp</w:t>
      </w:r>
      <w:r>
        <w:rPr>
          <w:b w:val="false"/>
          <w:i w:val="false"/>
          <w:color w:val="000000"/>
          <w:sz w:val="24"/>
          <w:lang w:val="pl-PL"/>
        </w:rPr>
        <w:t xml:space="preserve"> - liczba osób niepełnosprawnych w wieku 15 lat i więcej w powiecie p,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gdzie: N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dp</w:t>
      </w:r>
      <w:r>
        <w:rPr>
          <w:b w:val="false"/>
          <w:i w:val="false"/>
          <w:color w:val="000000"/>
          <w:sz w:val="24"/>
          <w:lang w:val="pl-PL"/>
        </w:rPr>
        <w:t xml:space="preserve"> = D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 xml:space="preserve">p </w:t>
      </w:r>
      <w:r>
        <w:rPr>
          <w:b w:val="false"/>
          <w:i w:val="false"/>
          <w:color w:val="000000"/>
          <w:sz w:val="24"/>
          <w:lang w:val="pl-PL"/>
        </w:rPr>
        <w:t>x a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d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a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 xml:space="preserve">d </w:t>
      </w:r>
      <w:r>
        <w:rPr>
          <w:b w:val="false"/>
          <w:i w:val="false"/>
          <w:color w:val="000000"/>
          <w:sz w:val="24"/>
          <w:lang w:val="pl-PL"/>
        </w:rPr>
        <w:t>- wskaźnik częstości niepełnosprawności orzeczonej wśród osób w wieku 15 lat i więcej w powiecie p według dostępnych danych GUS,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D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p</w:t>
      </w:r>
      <w:r>
        <w:rPr>
          <w:b w:val="false"/>
          <w:i w:val="false"/>
          <w:color w:val="000000"/>
          <w:sz w:val="24"/>
          <w:lang w:val="pl-PL"/>
        </w:rPr>
        <w:t xml:space="preserve"> - liczba osób w wieku 15 lat i więcej w powiecie p na podstawie dostępnych danych GUS,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N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mp</w:t>
      </w:r>
      <w:r>
        <w:rPr>
          <w:b w:val="false"/>
          <w:i w:val="false"/>
          <w:color w:val="000000"/>
          <w:sz w:val="24"/>
          <w:lang w:val="pl-PL"/>
        </w:rPr>
        <w:t xml:space="preserve"> - liczba niepełnosprawnych dzieci w wieku 0-14 lat w powiecie p,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gdzie: N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mp</w:t>
      </w:r>
      <w:r>
        <w:rPr>
          <w:b w:val="false"/>
          <w:i w:val="false"/>
          <w:color w:val="000000"/>
          <w:sz w:val="24"/>
          <w:lang w:val="pl-PL"/>
        </w:rPr>
        <w:t xml:space="preserve"> = M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p</w:t>
      </w:r>
      <w:r>
        <w:rPr>
          <w:b w:val="false"/>
          <w:i w:val="false"/>
          <w:color w:val="000000"/>
          <w:sz w:val="24"/>
          <w:lang w:val="pl-PL"/>
        </w:rPr>
        <w:t xml:space="preserve"> x a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m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M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p</w:t>
      </w:r>
      <w:r>
        <w:rPr>
          <w:b w:val="false"/>
          <w:i w:val="false"/>
          <w:color w:val="000000"/>
          <w:sz w:val="24"/>
          <w:lang w:val="pl-PL"/>
        </w:rPr>
        <w:t xml:space="preserve"> - liczba dzieci w wieku 0-14 lat w powiecie p, na podstawie dostępnych danych GUS,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a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m</w:t>
      </w:r>
      <w:r>
        <w:rPr>
          <w:b w:val="false"/>
          <w:i w:val="false"/>
          <w:color w:val="000000"/>
          <w:sz w:val="24"/>
          <w:lang w:val="pl-PL"/>
        </w:rPr>
        <w:t>- wskaźnik częstości niepełnosprawności orzeczonej wśród dzieci w wieku 0-14 lat w kraju na podstawie dostępnych danych GUS,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W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p</w:t>
      </w:r>
      <w:r>
        <w:rPr>
          <w:b w:val="false"/>
          <w:i w:val="false"/>
          <w:color w:val="000000"/>
          <w:sz w:val="24"/>
          <w:lang w:val="pl-PL"/>
        </w:rPr>
        <w:t xml:space="preserve"> - środki przeznaczone na dofinansowanie zobowiązań dotyczących kosztów działania warsztatów terapii zajęciowej dla powiatu p wyliczone według wzoru: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W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p</w:t>
      </w:r>
      <w:r>
        <w:rPr>
          <w:b w:val="false"/>
          <w:i w:val="false"/>
          <w:color w:val="000000"/>
          <w:sz w:val="24"/>
          <w:lang w:val="pl-PL"/>
        </w:rPr>
        <w:t xml:space="preserve"> = U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p</w:t>
      </w:r>
      <w:r>
        <w:rPr>
          <w:b w:val="false"/>
          <w:i w:val="false"/>
          <w:color w:val="000000"/>
          <w:sz w:val="24"/>
          <w:lang w:val="pl-PL"/>
        </w:rPr>
        <w:t xml:space="preserve"> x T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gdzie: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U</w:t>
      </w:r>
      <w:r>
        <w:rPr>
          <w:b w:val="false"/>
          <w:i w:val="false"/>
          <w:color w:val="000000"/>
          <w:sz w:val="24"/>
          <w:vertAlign w:val="subscript"/>
          <w:lang w:val="pl-PL"/>
        </w:rPr>
        <w:t>p</w:t>
      </w:r>
      <w:r>
        <w:rPr>
          <w:b w:val="false"/>
          <w:i w:val="false"/>
          <w:color w:val="000000"/>
          <w:sz w:val="24"/>
          <w:lang w:val="pl-PL"/>
        </w:rPr>
        <w:t xml:space="preserve"> - liczba uczestników warsztatów terapii zajęciowej wynikająca z podpisanych umów przez powiat p do dnia 31 grudnia roku poprzedzającego rok, na który jest obliczany algorytm,</w:t>
      </w:r>
    </w:p>
    <w:p>
      <w:pPr>
        <w:pStyle w:val="Normal"/>
        <w:spacing w:before="25" w:after="0"/>
        <w:ind w:left="0" w:hanging="0"/>
        <w:jc w:val="both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T - kwota na dofinansowanie kosztów rocznego pobytu jednego uczestnika w warsztacie terapii zajęciowej w wysokości, o której mowa w § 5 ust. 4.</w:t>
      </w:r>
    </w:p>
    <w:p>
      <w:pPr>
        <w:pStyle w:val="Normal"/>
        <w:spacing w:before="26" w:after="0"/>
        <w:ind w:left="0" w:hanging="0"/>
        <w:jc w:val="left"/>
        <w:textAlignment w:val="auto"/>
        <w:rPr/>
      </w:pPr>
      <w:r>
        <w:rPr>
          <w:b/>
          <w:i w:val="false"/>
          <w:color w:val="000000"/>
          <w:sz w:val="24"/>
          <w:lang w:val="pl-PL"/>
        </w:rPr>
        <w:t>§  5. </w:t>
      </w:r>
    </w:p>
    <w:p>
      <w:pPr>
        <w:pStyle w:val="Normal"/>
        <w:spacing w:before="26" w:after="0"/>
        <w:ind w:left="0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1. Ustalenie maksymalnych kwot zobowiązań dla poszczególnych zadań, wykazywanych w sprawozdaniach rzeczowo-finansowych, o których mowa w art. 35c ust. 1 ustawy, za okres roku poprzedniego, następuje w drodze spisu umów zawartych przez samorząd województwa lub powiatu, przeprowadzonego na dzień 31 grudnia roku poprzedniego.</w:t>
      </w:r>
    </w:p>
    <w:p>
      <w:pPr>
        <w:pStyle w:val="Normal"/>
        <w:spacing w:before="26" w:after="0"/>
        <w:ind w:left="0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 xml:space="preserve">2.  </w:t>
      </w:r>
      <w:r>
        <w:rPr>
          <w:b w:val="false"/>
          <w:i w:val="false"/>
          <w:color w:val="000000"/>
          <w:sz w:val="24"/>
          <w:vertAlign w:val="superscript"/>
          <w:lang w:val="pl-PL"/>
        </w:rPr>
        <w:t>2</w:t>
      </w:r>
      <w:r>
        <w:rPr>
          <w:b w:val="false"/>
          <w:i w:val="false"/>
          <w:color w:val="000000"/>
          <w:sz w:val="24"/>
          <w:lang w:val="pl-PL"/>
        </w:rPr>
        <w:t xml:space="preserve">  Maksymalna kwota zobowiązań samorządu wojewódzkiego do wypłaty w 2019 r. i w latach następnych z tytułu dofinansowania kosztów działalności zakładów aktywności zawodowej jest wyliczana jako iloczyn liczby zatrudnionych osób niepełnosprawnych zaliczonych do znacznego lub umiarkowanego stopnia niepełnosprawności zatrudnionych w zakładach aktywności zawodowej wynikającej z podpisanych umów przez województwo do dnia 31 grudnia roku poprzedzającego rok, na który jest obliczany algorytm, i kwoty środków na dofinansowanie kosztów rocznego pobytu jednej osoby niepełnosprawnej zaliczonej do znacznego lub umiarkowanego stopnia niepełnosprawności zatrudnionej w zakładzie aktywności zawodowej w wysokości:</w:t>
      </w:r>
    </w:p>
    <w:p>
      <w:pPr>
        <w:pStyle w:val="Normal"/>
        <w:spacing w:before="26" w:after="0"/>
        <w:ind w:left="373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1) 22 750 zł w 2019 r.;</w:t>
      </w:r>
    </w:p>
    <w:p>
      <w:pPr>
        <w:pStyle w:val="Normal"/>
        <w:spacing w:before="26" w:after="0"/>
        <w:ind w:left="373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2) 25 000 zł w 2020 r. i 2021 r.;</w:t>
      </w:r>
    </w:p>
    <w:p>
      <w:pPr>
        <w:pStyle w:val="Normal"/>
        <w:spacing w:before="26" w:after="0"/>
        <w:ind w:left="373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 xml:space="preserve">3) </w:t>
      </w:r>
      <w:r>
        <w:rPr>
          <w:b w:val="false"/>
          <w:i w:val="false"/>
          <w:color w:val="000000"/>
          <w:sz w:val="24"/>
          <w:vertAlign w:val="superscript"/>
          <w:lang w:val="pl-PL"/>
        </w:rPr>
        <w:t>3</w:t>
      </w:r>
      <w:r>
        <w:rPr>
          <w:b w:val="false"/>
          <w:i w:val="false"/>
          <w:color w:val="000000"/>
          <w:sz w:val="24"/>
          <w:lang w:val="pl-PL"/>
        </w:rPr>
        <w:t xml:space="preserve">  28 500 zł w 2022 r.</w:t>
      </w:r>
    </w:p>
    <w:p>
      <w:pPr>
        <w:pStyle w:val="Normal"/>
        <w:spacing w:before="26" w:after="0"/>
        <w:ind w:left="373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 xml:space="preserve">4) </w:t>
      </w:r>
      <w:r>
        <w:rPr>
          <w:b w:val="false"/>
          <w:i w:val="false"/>
          <w:color w:val="000000"/>
          <w:sz w:val="24"/>
          <w:vertAlign w:val="superscript"/>
          <w:lang w:val="pl-PL"/>
        </w:rPr>
        <w:t>4</w:t>
      </w:r>
      <w:r>
        <w:rPr>
          <w:b w:val="false"/>
          <w:i w:val="false"/>
          <w:color w:val="000000"/>
          <w:sz w:val="24"/>
          <w:lang w:val="pl-PL"/>
        </w:rPr>
        <w:t xml:space="preserve">  31 000 zł w 2023 r. i w latach następnych.</w:t>
      </w:r>
    </w:p>
    <w:p>
      <w:pPr>
        <w:pStyle w:val="Normal"/>
        <w:spacing w:before="26" w:after="0"/>
        <w:ind w:left="0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3. Maksymalna kwota zobowiązań samorządu powiatowego do wypłaty w 2018 r. i w latach następnych z tytułu dofinansowania kosztów działania warsztatów terapii zajęciowej jest wyliczana jako iloczyn liczby uczestników warsztatów terapii zajęciowej wynikającej z podpisanych umów przez powiat do dnia 31 grudnia roku poprzedzającego rok, na który jest obliczany algorytm, i kwoty środków na dofinansowanie kosztów rocznego pobytu jednego uczestnika w warsztacie terapii zajęciowej, o której mowa w ust. 4.</w:t>
      </w:r>
    </w:p>
    <w:p>
      <w:pPr>
        <w:pStyle w:val="Normal"/>
        <w:spacing w:before="26" w:after="0"/>
        <w:ind w:left="0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 xml:space="preserve">4.  </w:t>
      </w:r>
      <w:r>
        <w:rPr>
          <w:b w:val="false"/>
          <w:i w:val="false"/>
          <w:color w:val="000000"/>
          <w:sz w:val="24"/>
          <w:vertAlign w:val="superscript"/>
          <w:lang w:val="pl-PL"/>
        </w:rPr>
        <w:t>5</w:t>
      </w:r>
      <w:r>
        <w:rPr>
          <w:b w:val="false"/>
          <w:i w:val="false"/>
          <w:color w:val="000000"/>
          <w:sz w:val="24"/>
          <w:lang w:val="pl-PL"/>
        </w:rPr>
        <w:t xml:space="preserve">  Wysokość kwoty na dofinansowanie kosztów rocznego pobytu jednego uczestnika w warsztacie terapii zajęciowej wynosi:</w:t>
      </w:r>
    </w:p>
    <w:p>
      <w:pPr>
        <w:pStyle w:val="Normal"/>
        <w:spacing w:before="26" w:after="0"/>
        <w:ind w:left="373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1) w 2019 r. - 18 096 zł;</w:t>
      </w:r>
    </w:p>
    <w:p>
      <w:pPr>
        <w:pStyle w:val="Normal"/>
        <w:spacing w:before="26" w:after="0"/>
        <w:ind w:left="373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2) w 2020 r. - 20 496 zł;</w:t>
      </w:r>
    </w:p>
    <w:p>
      <w:pPr>
        <w:pStyle w:val="Normal"/>
        <w:spacing w:before="26" w:after="0"/>
        <w:ind w:left="373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3) w 2021 r. - 21 696 zł;</w:t>
      </w:r>
    </w:p>
    <w:p>
      <w:pPr>
        <w:pStyle w:val="Normal"/>
        <w:spacing w:before="26" w:after="0"/>
        <w:ind w:left="373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 xml:space="preserve">4) </w:t>
      </w:r>
      <w:r>
        <w:rPr>
          <w:b w:val="false"/>
          <w:i w:val="false"/>
          <w:color w:val="000000"/>
          <w:sz w:val="24"/>
          <w:vertAlign w:val="superscript"/>
          <w:lang w:val="pl-PL"/>
        </w:rPr>
        <w:t>6</w:t>
      </w:r>
      <w:r>
        <w:rPr>
          <w:b w:val="false"/>
          <w:i w:val="false"/>
          <w:color w:val="000000"/>
          <w:sz w:val="24"/>
          <w:lang w:val="pl-PL"/>
        </w:rPr>
        <w:t xml:space="preserve">  w 2022 r. - 25 896 zł;</w:t>
      </w:r>
    </w:p>
    <w:p>
      <w:pPr>
        <w:pStyle w:val="Normal"/>
        <w:spacing w:before="26" w:after="0"/>
        <w:ind w:left="373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 xml:space="preserve">5) </w:t>
      </w:r>
      <w:r>
        <w:rPr>
          <w:b w:val="false"/>
          <w:i w:val="false"/>
          <w:color w:val="000000"/>
          <w:sz w:val="24"/>
          <w:vertAlign w:val="superscript"/>
          <w:lang w:val="pl-PL"/>
        </w:rPr>
        <w:t>7</w:t>
      </w:r>
      <w:r>
        <w:rPr>
          <w:b w:val="false"/>
          <w:i w:val="false"/>
          <w:color w:val="000000"/>
          <w:sz w:val="24"/>
          <w:lang w:val="pl-PL"/>
        </w:rPr>
        <w:t xml:space="preserve">  w 2023 r. - 29 496 zł;</w:t>
      </w:r>
    </w:p>
    <w:p>
      <w:pPr>
        <w:pStyle w:val="Normal"/>
        <w:spacing w:before="26" w:after="0"/>
        <w:ind w:left="373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 xml:space="preserve">6) </w:t>
      </w:r>
      <w:r>
        <w:rPr>
          <w:b w:val="false"/>
          <w:i w:val="false"/>
          <w:color w:val="000000"/>
          <w:sz w:val="24"/>
          <w:vertAlign w:val="superscript"/>
          <w:lang w:val="pl-PL"/>
        </w:rPr>
        <w:t>8</w:t>
      </w:r>
      <w:r>
        <w:rPr>
          <w:b w:val="false"/>
          <w:i w:val="false"/>
          <w:color w:val="000000"/>
          <w:sz w:val="24"/>
          <w:lang w:val="pl-PL"/>
        </w:rPr>
        <w:t xml:space="preserve">  w 2024 r. i w latach następnych - 31 296 zł.</w:t>
      </w:r>
    </w:p>
    <w:p>
      <w:pPr>
        <w:pStyle w:val="Normal"/>
        <w:spacing w:before="26" w:after="0"/>
        <w:ind w:left="373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 xml:space="preserve">7) </w:t>
      </w:r>
      <w:r>
        <w:rPr>
          <w:b w:val="false"/>
          <w:i w:val="false"/>
          <w:color w:val="000000"/>
          <w:sz w:val="24"/>
          <w:vertAlign w:val="superscript"/>
          <w:lang w:val="pl-PL"/>
        </w:rPr>
        <w:t>9</w:t>
      </w:r>
      <w:r>
        <w:rPr>
          <w:b w:val="false"/>
          <w:i w:val="false"/>
          <w:color w:val="000000"/>
          <w:sz w:val="24"/>
          <w:lang w:val="pl-PL"/>
        </w:rPr>
        <w:t xml:space="preserve">  (uchylony).</w:t>
      </w:r>
    </w:p>
    <w:p>
      <w:pPr>
        <w:pStyle w:val="Normal"/>
        <w:spacing w:before="26" w:after="0"/>
        <w:ind w:left="0" w:hanging="0"/>
        <w:jc w:val="left"/>
        <w:textAlignment w:val="auto"/>
        <w:rPr/>
      </w:pPr>
      <w:r>
        <w:rPr>
          <w:b/>
          <w:i w:val="false"/>
          <w:color w:val="000000"/>
          <w:sz w:val="24"/>
          <w:lang w:val="pl-PL"/>
        </w:rPr>
        <w:t>§  6. </w:t>
      </w:r>
    </w:p>
    <w:p>
      <w:pPr>
        <w:pStyle w:val="Normal"/>
        <w:spacing w:before="26" w:after="0"/>
        <w:ind w:left="0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 xml:space="preserve">1. Zarząd Funduszu informuje samorządy wojewódzkie i powiatowe o wielkości środków Funduszu określonych algorytmem przypadających danej jednostce na realizację w danym roku zadań, które są przekazywane na wyodrębniony rachunek bankowy, o którym mowa w </w:t>
      </w:r>
      <w:r>
        <w:rPr>
          <w:b w:val="false"/>
          <w:i w:val="false"/>
          <w:color w:val="1B1B1B"/>
          <w:sz w:val="24"/>
          <w:lang w:val="pl-PL"/>
        </w:rPr>
        <w:t>art. 48 ust. 1 pkt 1</w:t>
      </w:r>
      <w:r>
        <w:rPr>
          <w:b w:val="false"/>
          <w:i w:val="false"/>
          <w:color w:val="000000"/>
          <w:sz w:val="24"/>
          <w:lang w:val="pl-PL"/>
        </w:rPr>
        <w:t xml:space="preserve"> ustawy.</w:t>
      </w:r>
    </w:p>
    <w:p>
      <w:pPr>
        <w:pStyle w:val="Normal"/>
        <w:spacing w:before="26" w:after="0"/>
        <w:ind w:left="0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 xml:space="preserve">2. Zarząd Funduszu przekazuje samorządom informację, o której mowa w ust. 1, w terminie 30 dni od dnia złożenia sprawozdań rzeczowo-finansowych, o których mowa w </w:t>
      </w:r>
      <w:r>
        <w:rPr>
          <w:b w:val="false"/>
          <w:i w:val="false"/>
          <w:color w:val="1B1B1B"/>
          <w:sz w:val="24"/>
          <w:lang w:val="pl-PL"/>
        </w:rPr>
        <w:t>art. 35c ust. 1</w:t>
      </w:r>
      <w:r>
        <w:rPr>
          <w:b w:val="false"/>
          <w:i w:val="false"/>
          <w:color w:val="000000"/>
          <w:sz w:val="24"/>
          <w:lang w:val="pl-PL"/>
        </w:rPr>
        <w:t xml:space="preserve"> ustawy, za okres roku poprzedniego, nie wcześniej jednak niż przed opublikowaniem ustawy budżetowej na dany rok. Informacja ta powinna zawierać:</w:t>
      </w:r>
    </w:p>
    <w:p>
      <w:pPr>
        <w:pStyle w:val="Normal"/>
        <w:spacing w:before="26" w:after="0"/>
        <w:ind w:left="373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1) nazwę jednostki samorządu terytorialnego;</w:t>
      </w:r>
    </w:p>
    <w:p>
      <w:pPr>
        <w:pStyle w:val="Normal"/>
        <w:spacing w:before="26" w:after="0"/>
        <w:ind w:left="373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2) kwotę środków Funduszu na realizację zadań samorządu wojewódzkiego lub powiatowego;</w:t>
      </w:r>
    </w:p>
    <w:p>
      <w:pPr>
        <w:pStyle w:val="Normal"/>
        <w:spacing w:before="26" w:after="0"/>
        <w:ind w:left="373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3) dane zastosowane do obliczeń wysokości środków Funduszu, przypadających samorządowi wojewódzkiemu lub powiatowemu.</w:t>
      </w:r>
    </w:p>
    <w:p>
      <w:pPr>
        <w:pStyle w:val="Normal"/>
        <w:spacing w:before="26" w:after="0"/>
        <w:ind w:left="0" w:hanging="0"/>
        <w:jc w:val="left"/>
        <w:textAlignment w:val="auto"/>
        <w:rPr/>
      </w:pPr>
      <w:r>
        <w:rPr>
          <w:b/>
          <w:i w:val="false"/>
          <w:color w:val="000000"/>
          <w:sz w:val="24"/>
          <w:lang w:val="pl-PL"/>
        </w:rPr>
        <w:t>§  7. </w:t>
      </w:r>
    </w:p>
    <w:p>
      <w:pPr>
        <w:pStyle w:val="Normal"/>
        <w:spacing w:before="26" w:after="0"/>
        <w:ind w:left="0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1. Środki Funduszu, o których mowa w § 6 ust. 1, powiększa się o faktycznie poniesione koszty obsługi zadań realizowanych przez samorząd, jednak nie więcej niż o 2,5% środków wykorzystanych na realizację zadań.</w:t>
      </w:r>
    </w:p>
    <w:p>
      <w:pPr>
        <w:pStyle w:val="Normal"/>
        <w:spacing w:before="26" w:after="0"/>
        <w:ind w:left="0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2. Prezes Zarządu Funduszu przekazuje środki Funduszu w ciągu roku, w tym także w formie zaliczek, w terminach umożliwiających bieżące finansowanie realizowanych przez samorządy wojewódzkie lub powiatowe zadań, nie dłuższych niż 14 dni od dnia złożenia przez samorząd wniosku o przekazanie środków, jednakże z uwzględnieniem możliwości finansowych Funduszu, stopnia wykorzystania przez samorząd środków przekazanych i stanu wyodrębnionego rachunku bankowego, potwierdzonego kopią wyciągu bankowego na dzień sporządzenia wniosku o przekazanie środków.</w:t>
      </w:r>
    </w:p>
    <w:p>
      <w:pPr>
        <w:pStyle w:val="Normal"/>
        <w:spacing w:before="26" w:after="0"/>
        <w:ind w:left="0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3. Przekazanie środków Funduszu następuje po dokonaniu rozliczenia środków Funduszu za poprzedni okres oraz po przedłożeniu Prezesowi Zarządu Funduszu informacji o:</w:t>
      </w:r>
    </w:p>
    <w:p>
      <w:pPr>
        <w:pStyle w:val="Normal"/>
        <w:spacing w:before="26" w:after="0"/>
        <w:ind w:left="373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1) nazwie banku, który prowadzi jeden wyodrębniony rachunek bankowy środków Funduszu dla samorządu, oraz o numerze wyodrębnionego rachunku bankowego;</w:t>
      </w:r>
    </w:p>
    <w:p>
      <w:pPr>
        <w:pStyle w:val="Normal"/>
        <w:spacing w:before="26" w:after="0"/>
        <w:ind w:left="373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>2) każdej zmianie numeru wyodrębnionego rachunku bankowego, z załączeniem dowodu zamknięcia poprzedniego rachunku i przeniesienia środków Funduszu z poprzedniego wyodrębnionego rachunku bankowego na nowy wyodrębniony rachunek bankowy.</w:t>
      </w:r>
    </w:p>
    <w:p>
      <w:pPr>
        <w:pStyle w:val="Normal"/>
        <w:spacing w:before="26" w:after="240"/>
        <w:ind w:left="0" w:hanging="0"/>
        <w:jc w:val="left"/>
        <w:textAlignment w:val="auto"/>
        <w:rPr/>
      </w:pPr>
      <w:r>
        <w:rPr>
          <w:b/>
          <w:i w:val="false"/>
          <w:color w:val="000000"/>
          <w:sz w:val="24"/>
          <w:lang w:val="pl-PL"/>
        </w:rPr>
        <w:t>§  8. </w:t>
      </w:r>
      <w:r>
        <w:rPr>
          <w:b w:val="false"/>
          <w:i w:val="false"/>
          <w:color w:val="000000"/>
          <w:sz w:val="24"/>
          <w:lang w:val="pl-PL"/>
        </w:rPr>
        <w:t>Przepisy rozporządzenia mają zastosowanie do środków Funduszu określonych w planie finansowym na 2003 r. i planów finansowych na lata następne.</w:t>
      </w:r>
    </w:p>
    <w:p>
      <w:pPr>
        <w:pStyle w:val="Normal"/>
        <w:spacing w:before="26" w:after="0"/>
        <w:ind w:left="0" w:hanging="0"/>
        <w:jc w:val="left"/>
        <w:textAlignment w:val="auto"/>
        <w:rPr/>
      </w:pPr>
      <w:r>
        <w:rPr>
          <w:b/>
          <w:i w:val="false"/>
          <w:color w:val="000000"/>
          <w:sz w:val="24"/>
          <w:lang w:val="pl-PL"/>
        </w:rPr>
        <w:t>§  9. </w:t>
      </w:r>
      <w:r>
        <w:rPr>
          <w:b w:val="false"/>
          <w:i w:val="false"/>
          <w:color w:val="000000"/>
          <w:sz w:val="24"/>
          <w:lang w:val="pl-PL"/>
        </w:rPr>
        <w:t xml:space="preserve">Traci moc </w:t>
      </w:r>
      <w:r>
        <w:rPr>
          <w:b w:val="false"/>
          <w:i w:val="false"/>
          <w:color w:val="1B1B1B"/>
          <w:sz w:val="24"/>
          <w:lang w:val="pl-PL"/>
        </w:rPr>
        <w:t>rozporządzenie</w:t>
      </w:r>
      <w:r>
        <w:rPr>
          <w:b w:val="false"/>
          <w:i w:val="false"/>
          <w:color w:val="000000"/>
          <w:sz w:val="24"/>
          <w:lang w:val="pl-PL"/>
        </w:rPr>
        <w:t xml:space="preserve"> Rady Ministrów z dnia 5 marca 2002 r. w sprawie algorytmu przekazywania środków Państwowego Funduszu Rehabilitacji Osób Niepełnosprawnych jednostkom samorządu terytorialnego (Dz. U. poz. 223), z tym że stosuje się:</w:t>
      </w:r>
    </w:p>
    <w:p>
      <w:pPr>
        <w:pStyle w:val="Normal"/>
        <w:spacing w:before="26" w:after="0"/>
        <w:ind w:left="373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 xml:space="preserve">1) </w:t>
      </w:r>
      <w:r>
        <w:rPr>
          <w:b w:val="false"/>
          <w:i w:val="false"/>
          <w:color w:val="1B1B1B"/>
          <w:sz w:val="24"/>
          <w:lang w:val="pl-PL"/>
        </w:rPr>
        <w:t>§ 7</w:t>
      </w:r>
      <w:r>
        <w:rPr>
          <w:b w:val="false"/>
          <w:i w:val="false"/>
          <w:color w:val="000000"/>
          <w:sz w:val="24"/>
          <w:lang w:val="pl-PL"/>
        </w:rPr>
        <w:t xml:space="preserve"> tego rozporządzenia - do ustalania maksymalnych kwot zobowiązań z tytułu realizacji umów zawartych do dnia 31 grudnia 2001 r.;</w:t>
      </w:r>
    </w:p>
    <w:p>
      <w:pPr>
        <w:pStyle w:val="Normal"/>
        <w:spacing w:before="26" w:after="0"/>
        <w:ind w:left="373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lang w:val="pl-PL"/>
        </w:rPr>
        <w:t xml:space="preserve">2) </w:t>
      </w:r>
      <w:r>
        <w:rPr>
          <w:b w:val="false"/>
          <w:i w:val="false"/>
          <w:color w:val="1B1B1B"/>
          <w:sz w:val="24"/>
          <w:lang w:val="pl-PL"/>
        </w:rPr>
        <w:t>§ 4 ust. 2-5</w:t>
      </w:r>
      <w:r>
        <w:rPr>
          <w:b w:val="false"/>
          <w:i w:val="false"/>
          <w:color w:val="000000"/>
          <w:sz w:val="24"/>
          <w:lang w:val="pl-PL"/>
        </w:rPr>
        <w:t xml:space="preserve"> tego rozporządzenia - do ustalania maksymalnych kwot zobowiązań z tytułu realizacji umów zawartych w okresie od dnia 1 stycznia 2002 r. do dnia 31 stycznia 2003 r.</w:t>
      </w:r>
    </w:p>
    <w:p>
      <w:pPr>
        <w:pStyle w:val="Normal"/>
        <w:spacing w:before="26" w:after="240"/>
        <w:ind w:left="0" w:hanging="0"/>
        <w:jc w:val="left"/>
        <w:textAlignment w:val="auto"/>
        <w:rPr/>
      </w:pPr>
      <w:r>
        <w:rPr>
          <w:b/>
          <w:i w:val="false"/>
          <w:color w:val="000000"/>
          <w:sz w:val="24"/>
          <w:lang w:val="pl-PL"/>
        </w:rPr>
        <w:t>§  10. </w:t>
      </w:r>
      <w:r>
        <w:rPr>
          <w:b w:val="false"/>
          <w:i w:val="false"/>
          <w:color w:val="000000"/>
          <w:sz w:val="24"/>
          <w:lang w:val="pl-PL"/>
        </w:rPr>
        <w:t>Rozporządzenie wchodzi w życie po upływie 14 dni od dnia ogłoszenia.</w:t>
      </w:r>
    </w:p>
    <w:p>
      <w:pPr>
        <w:pStyle w:val="Normal"/>
        <w:spacing w:before="250" w:after="0"/>
        <w:ind w:left="0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b w:val="false"/>
          <w:i w:val="false"/>
          <w:color w:val="000000"/>
          <w:sz w:val="24"/>
          <w:lang w:val="pl-PL"/>
        </w:rPr>
        <w:t xml:space="preserve"> § 3:- zmieniony przez </w:t>
      </w:r>
      <w:r>
        <w:rPr>
          <w:b w:val="false"/>
          <w:i w:val="false"/>
          <w:color w:val="1B1B1B"/>
          <w:sz w:val="24"/>
          <w:lang w:val="pl-PL"/>
        </w:rPr>
        <w:t>§ 1 pkt 1</w:t>
      </w:r>
      <w:r>
        <w:rPr>
          <w:b w:val="false"/>
          <w:i w:val="false"/>
          <w:color w:val="000000"/>
          <w:sz w:val="24"/>
          <w:lang w:val="pl-PL"/>
        </w:rPr>
        <w:t xml:space="preserve"> rozporządzenia z dnia 2 października 2019 r. (Dz.U.2019.1898) zmieniającego nin. rozporządzenie z dniem 8 października 2019 r., zob. </w:t>
      </w:r>
      <w:r>
        <w:rPr>
          <w:b w:val="false"/>
          <w:i w:val="false"/>
          <w:color w:val="1B1B1B"/>
          <w:sz w:val="24"/>
          <w:lang w:val="pl-PL"/>
        </w:rPr>
        <w:t>§ 3</w:t>
      </w:r>
      <w:r>
        <w:rPr>
          <w:b w:val="false"/>
          <w:i w:val="false"/>
          <w:color w:val="000000"/>
          <w:sz w:val="24"/>
          <w:lang w:val="pl-PL"/>
        </w:rPr>
        <w:t xml:space="preserve"> rozporządzenia zmieniającego.- zmieniony przez </w:t>
      </w:r>
      <w:r>
        <w:rPr>
          <w:b w:val="false"/>
          <w:i w:val="false"/>
          <w:color w:val="1B1B1B"/>
          <w:sz w:val="24"/>
          <w:lang w:val="pl-PL"/>
        </w:rPr>
        <w:t>§ 1 pkt 1</w:t>
      </w:r>
      <w:r>
        <w:rPr>
          <w:b w:val="false"/>
          <w:i w:val="false"/>
          <w:color w:val="000000"/>
          <w:sz w:val="24"/>
          <w:lang w:val="pl-PL"/>
        </w:rPr>
        <w:t xml:space="preserve"> rozporządzenia z dnia 30 grudnia 2021 r. (Dz.U.2022.3) zmieniającego nin. rozporządzenie z dniem 1 stycznia 2022 r.- zmieniony przez </w:t>
      </w:r>
      <w:r>
        <w:rPr>
          <w:b w:val="false"/>
          <w:i w:val="false"/>
          <w:color w:val="1B1B1B"/>
          <w:sz w:val="24"/>
          <w:lang w:val="pl-PL"/>
        </w:rPr>
        <w:t>§ 1 pkt 1</w:t>
      </w:r>
      <w:r>
        <w:rPr>
          <w:b w:val="false"/>
          <w:i w:val="false"/>
          <w:color w:val="000000"/>
          <w:sz w:val="24"/>
          <w:lang w:val="pl-PL"/>
        </w:rPr>
        <w:t xml:space="preserve"> rozporządzenia z dnia 10 października 2022 r. (Dz.U.2022.2128) zmieniającego nin. rozporządzenie z dniem 19 października 2022 r.</w:t>
      </w:r>
    </w:p>
    <w:p>
      <w:pPr>
        <w:pStyle w:val="Normal"/>
        <w:spacing w:before="0" w:after="0"/>
        <w:ind w:left="0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vertAlign w:val="superscript"/>
          <w:lang w:val="pl-PL"/>
        </w:rPr>
        <w:t>2</w:t>
      </w:r>
      <w:r>
        <w:rPr>
          <w:b w:val="false"/>
          <w:i w:val="false"/>
          <w:color w:val="000000"/>
          <w:sz w:val="24"/>
          <w:lang w:val="pl-PL"/>
        </w:rPr>
        <w:t xml:space="preserve"> § 5 ust. 2:- zmieniony przez </w:t>
      </w:r>
      <w:r>
        <w:rPr>
          <w:b w:val="false"/>
          <w:i w:val="false"/>
          <w:color w:val="1B1B1B"/>
          <w:sz w:val="24"/>
          <w:lang w:val="pl-PL"/>
        </w:rPr>
        <w:t>§ 1 pkt 2 lit. a</w:t>
      </w:r>
      <w:r>
        <w:rPr>
          <w:b w:val="false"/>
          <w:i w:val="false"/>
          <w:color w:val="000000"/>
          <w:sz w:val="24"/>
          <w:lang w:val="pl-PL"/>
        </w:rPr>
        <w:t xml:space="preserve"> rozporządzenia z dnia 2 października 2019 r. (Dz.U.2019.1898) zmieniającego nin. rozporządzenie z dniem 8 października 2019 r., zob. § 3 rozporządzenia zmieniającego.- zmieniony przez </w:t>
      </w:r>
      <w:r>
        <w:rPr>
          <w:b w:val="false"/>
          <w:i w:val="false"/>
          <w:color w:val="1B1B1B"/>
          <w:sz w:val="24"/>
          <w:lang w:val="pl-PL"/>
        </w:rPr>
        <w:t>§ 1 pkt 2 lit. a</w:t>
      </w:r>
      <w:r>
        <w:rPr>
          <w:b w:val="false"/>
          <w:i w:val="false"/>
          <w:color w:val="000000"/>
          <w:sz w:val="24"/>
          <w:lang w:val="pl-PL"/>
        </w:rPr>
        <w:t xml:space="preserve"> rozporządzenia z dnia 30 grudnia 2021 r. (Dz.U.2022.3) zmieniającego nin. rozporządzenie z dniem 1 stycznia 2022 r.</w:t>
      </w:r>
    </w:p>
    <w:p>
      <w:pPr>
        <w:pStyle w:val="Normal"/>
        <w:spacing w:before="0" w:after="0"/>
        <w:ind w:left="0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vertAlign w:val="superscript"/>
          <w:lang w:val="pl-PL"/>
        </w:rPr>
        <w:t>3</w:t>
      </w:r>
      <w:r>
        <w:rPr>
          <w:b w:val="false"/>
          <w:i w:val="false"/>
          <w:color w:val="000000"/>
          <w:sz w:val="24"/>
          <w:lang w:val="pl-PL"/>
        </w:rPr>
        <w:t xml:space="preserve"> § 5 ust. 2 pkt 3 zmieniony przez </w:t>
      </w:r>
      <w:r>
        <w:rPr>
          <w:b w:val="false"/>
          <w:i w:val="false"/>
          <w:color w:val="1B1B1B"/>
          <w:sz w:val="24"/>
          <w:lang w:val="pl-PL"/>
        </w:rPr>
        <w:t>§ 1 pkt 2 lit. a</w:t>
      </w:r>
      <w:r>
        <w:rPr>
          <w:b w:val="false"/>
          <w:i w:val="false"/>
          <w:color w:val="000000"/>
          <w:sz w:val="24"/>
          <w:lang w:val="pl-PL"/>
        </w:rPr>
        <w:t xml:space="preserve"> tiret pierwsze rozporządzenia z dnia 10 października 2022 r. (Dz.U.2022.2128) zmieniającego nin. rozporządzenie z dniem 19 października 2022 r.</w:t>
      </w:r>
    </w:p>
    <w:p>
      <w:pPr>
        <w:pStyle w:val="Normal"/>
        <w:spacing w:before="0" w:after="0"/>
        <w:ind w:left="0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vertAlign w:val="superscript"/>
          <w:lang w:val="pl-PL"/>
        </w:rPr>
        <w:t>4</w:t>
      </w:r>
      <w:r>
        <w:rPr>
          <w:b w:val="false"/>
          <w:i w:val="false"/>
          <w:color w:val="000000"/>
          <w:sz w:val="24"/>
          <w:lang w:val="pl-PL"/>
        </w:rPr>
        <w:t xml:space="preserve"> § 5 ust. 2 pkt 4 dodany przez </w:t>
      </w:r>
      <w:r>
        <w:rPr>
          <w:b w:val="false"/>
          <w:i w:val="false"/>
          <w:color w:val="1B1B1B"/>
          <w:sz w:val="24"/>
          <w:lang w:val="pl-PL"/>
        </w:rPr>
        <w:t>§ 1 pkt 2 lit. a</w:t>
      </w:r>
      <w:r>
        <w:rPr>
          <w:b w:val="false"/>
          <w:i w:val="false"/>
          <w:color w:val="000000"/>
          <w:sz w:val="24"/>
          <w:lang w:val="pl-PL"/>
        </w:rPr>
        <w:t xml:space="preserve"> tiret drugie rozporządzenia z dnia 10 października 2022 r. (Dz.U.2022.2128) zmieniającego nin. rozporządzenie z dniem 19 października 2022 r.</w:t>
      </w:r>
    </w:p>
    <w:p>
      <w:pPr>
        <w:pStyle w:val="Normal"/>
        <w:spacing w:before="0" w:after="0"/>
        <w:ind w:left="0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vertAlign w:val="superscript"/>
          <w:lang w:val="pl-PL"/>
        </w:rPr>
        <w:t>5</w:t>
      </w:r>
      <w:r>
        <w:rPr>
          <w:b w:val="false"/>
          <w:i w:val="false"/>
          <w:color w:val="000000"/>
          <w:sz w:val="24"/>
          <w:lang w:val="pl-PL"/>
        </w:rPr>
        <w:t xml:space="preserve"> § 5 ust. 4 zmieniony przez § 1 pkt 2 lit. b rozporządzenia z dnia 2 października 2019 r. (Dz.U.2019.1898) zmieniającego nin. rozporządzenie z dniem 8 października 2019 r., zob. </w:t>
      </w:r>
      <w:r>
        <w:rPr>
          <w:b w:val="false"/>
          <w:i w:val="false"/>
          <w:color w:val="1B1B1B"/>
          <w:sz w:val="24"/>
          <w:lang w:val="pl-PL"/>
        </w:rPr>
        <w:t>§ 3</w:t>
      </w:r>
      <w:r>
        <w:rPr>
          <w:b w:val="false"/>
          <w:i w:val="false"/>
          <w:color w:val="000000"/>
          <w:sz w:val="24"/>
          <w:lang w:val="pl-PL"/>
        </w:rPr>
        <w:t xml:space="preserve"> rozporządzenia zmieniającego.</w:t>
      </w:r>
    </w:p>
    <w:p>
      <w:pPr>
        <w:pStyle w:val="Normal"/>
        <w:spacing w:before="0" w:after="0"/>
        <w:ind w:left="0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vertAlign w:val="superscript"/>
          <w:lang w:val="pl-PL"/>
        </w:rPr>
        <w:t>6</w:t>
      </w:r>
      <w:r>
        <w:rPr>
          <w:b w:val="false"/>
          <w:i w:val="false"/>
          <w:color w:val="000000"/>
          <w:sz w:val="24"/>
          <w:lang w:val="pl-PL"/>
        </w:rPr>
        <w:t xml:space="preserve"> § 5 ust. 4 pkt 4:- zmieniony przez </w:t>
      </w:r>
      <w:r>
        <w:rPr>
          <w:b w:val="false"/>
          <w:i w:val="false"/>
          <w:color w:val="1B1B1B"/>
          <w:sz w:val="24"/>
          <w:lang w:val="pl-PL"/>
        </w:rPr>
        <w:t>§ 1 pkt 2 lit. b</w:t>
      </w:r>
      <w:r>
        <w:rPr>
          <w:b w:val="false"/>
          <w:i w:val="false"/>
          <w:color w:val="000000"/>
          <w:sz w:val="24"/>
          <w:lang w:val="pl-PL"/>
        </w:rPr>
        <w:t xml:space="preserve"> rozporządzenia z dnia 30 grudnia 2021 r. (Dz.U.2022.3) zmieniającego nin. rozporządzenie z dniem 1 stycznia 2022 r.- zmieniony przez </w:t>
      </w:r>
      <w:r>
        <w:rPr>
          <w:b w:val="false"/>
          <w:i w:val="false"/>
          <w:color w:val="1B1B1B"/>
          <w:sz w:val="24"/>
          <w:lang w:val="pl-PL"/>
        </w:rPr>
        <w:t>§ 1 pkt 2 lit. b</w:t>
      </w:r>
      <w:r>
        <w:rPr>
          <w:b w:val="false"/>
          <w:i w:val="false"/>
          <w:color w:val="000000"/>
          <w:sz w:val="24"/>
          <w:lang w:val="pl-PL"/>
        </w:rPr>
        <w:t xml:space="preserve"> tiret pierwsze rozporządzenia z dnia 10 października 2022 r. (Dz.U.2022.2128) zmieniającego nin. rozporządzenie z dniem 19 października 2022 r.</w:t>
      </w:r>
    </w:p>
    <w:p>
      <w:pPr>
        <w:pStyle w:val="Normal"/>
        <w:spacing w:before="0" w:after="0"/>
        <w:ind w:left="0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vertAlign w:val="superscript"/>
          <w:lang w:val="pl-PL"/>
        </w:rPr>
        <w:t>7</w:t>
      </w:r>
      <w:r>
        <w:rPr>
          <w:b w:val="false"/>
          <w:i w:val="false"/>
          <w:color w:val="000000"/>
          <w:sz w:val="24"/>
          <w:lang w:val="pl-PL"/>
        </w:rPr>
        <w:t xml:space="preserve"> § 5 ust. 4 pkt 5:- dodany przez </w:t>
      </w:r>
      <w:r>
        <w:rPr>
          <w:b w:val="false"/>
          <w:i w:val="false"/>
          <w:color w:val="1B1B1B"/>
          <w:sz w:val="24"/>
          <w:lang w:val="pl-PL"/>
        </w:rPr>
        <w:t>§ 1 pkt 2 lit. b</w:t>
      </w:r>
      <w:r>
        <w:rPr>
          <w:b w:val="false"/>
          <w:i w:val="false"/>
          <w:color w:val="000000"/>
          <w:sz w:val="24"/>
          <w:lang w:val="pl-PL"/>
        </w:rPr>
        <w:t xml:space="preserve"> tiret drugie rozporządzenia z dnia 10 października 2022 r. (Dz.U.2022.2128) zmieniającego nin. rozporządzenie z dniem 19 października 2022 r.- zmieniony przez </w:t>
      </w:r>
      <w:r>
        <w:rPr>
          <w:b w:val="false"/>
          <w:i w:val="false"/>
          <w:color w:val="1B1B1B"/>
          <w:sz w:val="24"/>
          <w:lang w:val="pl-PL"/>
        </w:rPr>
        <w:t>§ 1 pkt 1</w:t>
      </w:r>
      <w:r>
        <w:rPr>
          <w:b w:val="false"/>
          <w:i w:val="false"/>
          <w:color w:val="000000"/>
          <w:sz w:val="24"/>
          <w:lang w:val="pl-PL"/>
        </w:rPr>
        <w:t xml:space="preserve"> rozporządzenia z dnia 22 maja 2023 r. (Dz.U.2023.1066) zmieniającego nin. rozporządzenie z dniem 7 czerwca 2023 r.</w:t>
      </w:r>
    </w:p>
    <w:p>
      <w:pPr>
        <w:pStyle w:val="Normal"/>
        <w:spacing w:before="0" w:after="0"/>
        <w:ind w:left="0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vertAlign w:val="superscript"/>
          <w:lang w:val="pl-PL"/>
        </w:rPr>
        <w:t>8</w:t>
      </w:r>
      <w:r>
        <w:rPr>
          <w:b w:val="false"/>
          <w:i w:val="false"/>
          <w:color w:val="000000"/>
          <w:sz w:val="24"/>
          <w:lang w:val="pl-PL"/>
        </w:rPr>
        <w:t xml:space="preserve"> § 5 ust. 4 pkt 6:- dodany przez </w:t>
      </w:r>
      <w:r>
        <w:rPr>
          <w:b w:val="false"/>
          <w:i w:val="false"/>
          <w:color w:val="1B1B1B"/>
          <w:sz w:val="24"/>
          <w:lang w:val="pl-PL"/>
        </w:rPr>
        <w:t>§ 1 pkt 2 lit. b</w:t>
      </w:r>
      <w:r>
        <w:rPr>
          <w:b w:val="false"/>
          <w:i w:val="false"/>
          <w:color w:val="000000"/>
          <w:sz w:val="24"/>
          <w:lang w:val="pl-PL"/>
        </w:rPr>
        <w:t xml:space="preserve"> tiret drugie rozporządzenia z dnia 10 października 2022 r. (Dz.U.2022.2128) zmieniającego nin. rozporządzenie z dniem 19 października 2022 r.- zmieniony przez </w:t>
      </w:r>
      <w:r>
        <w:rPr>
          <w:b w:val="false"/>
          <w:i w:val="false"/>
          <w:color w:val="1B1B1B"/>
          <w:sz w:val="24"/>
          <w:lang w:val="pl-PL"/>
        </w:rPr>
        <w:t>§ 1 pkt 1</w:t>
      </w:r>
      <w:r>
        <w:rPr>
          <w:b w:val="false"/>
          <w:i w:val="false"/>
          <w:color w:val="000000"/>
          <w:sz w:val="24"/>
          <w:lang w:val="pl-PL"/>
        </w:rPr>
        <w:t xml:space="preserve"> rozporządzenia z dnia 22 maja 2023 r. (Dz.U.2023.1066) zmieniającego nin. rozporządzenie z dniem 7 czerwca 2023 r.</w:t>
      </w:r>
    </w:p>
    <w:p>
      <w:pPr>
        <w:pStyle w:val="Normal"/>
        <w:spacing w:before="0" w:after="0"/>
        <w:ind w:left="0" w:hanging="0"/>
        <w:jc w:val="left"/>
        <w:textAlignment w:val="auto"/>
        <w:rPr/>
      </w:pPr>
      <w:r>
        <w:rPr>
          <w:b w:val="false"/>
          <w:i w:val="false"/>
          <w:color w:val="000000"/>
          <w:sz w:val="24"/>
          <w:vertAlign w:val="superscript"/>
          <w:lang w:val="pl-PL"/>
        </w:rPr>
        <w:t>9</w:t>
      </w:r>
      <w:r>
        <w:rPr>
          <w:b w:val="false"/>
          <w:i w:val="false"/>
          <w:color w:val="000000"/>
          <w:sz w:val="24"/>
          <w:lang w:val="pl-PL"/>
        </w:rPr>
        <w:t xml:space="preserve"> § 5 ust. 4 pkt 7 uchylony przez </w:t>
      </w:r>
      <w:r>
        <w:rPr>
          <w:b w:val="false"/>
          <w:i w:val="false"/>
          <w:color w:val="1B1B1B"/>
          <w:sz w:val="24"/>
          <w:lang w:val="pl-PL"/>
        </w:rPr>
        <w:t>§ 1 pkt 2</w:t>
      </w:r>
      <w:r>
        <w:rPr>
          <w:b w:val="false"/>
          <w:i w:val="false"/>
          <w:color w:val="000000"/>
          <w:sz w:val="24"/>
          <w:lang w:val="pl-PL"/>
        </w:rPr>
        <w:t xml:space="preserve"> rozporządzenia z dnia 22 maja 2023 r. (Dz.U.2023.1066) zmieniającego nin. rozporządzenie z dniem 7 czerwca 2023 r.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overrideTableStyleFontSizeAndJustific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Cs w:val="22"/>
        <w:lang w:val="pl-PL" w:eastAsia="zh-CN" w:bidi="hi-I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pl-PL" w:eastAsia="zh-CN" w:bidi="hi-IN"/>
    </w:rPr>
  </w:style>
  <w:style w:type="paragraph" w:styleId="Nagwek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Nagwek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Wyrnienie">
    <w:name w:val="Wyróżnienie"/>
    <w:basedOn w:val="DefaultParagraphFont"/>
    <w:uiPriority w:val="20"/>
    <w:qFormat/>
    <w:rsid w:val="00d1197d"/>
    <w:rPr>
      <w:i/>
      <w:iCs/>
    </w:rPr>
  </w:style>
  <w:style w:type="character" w:styleId="Czeinternetowe">
    <w:name w:val="Łącze internetowe"/>
    <w:basedOn w:val="DefaultParagraphFont"/>
    <w:uiPriority w:val="99"/>
    <w:unhideWhenUsed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link w:val="HeaderChar"/>
    <w:uiPriority w:val="99"/>
    <w:unhideWhenUsed/>
    <w:rsid w:val="00841cd9"/>
    <w:pPr>
      <w:tabs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Podtytu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qFormat/>
    <w:pPr>
      <w:widowControl/>
      <w:bidi w:val="0"/>
      <w:spacing w:lineRule="auto" w:line="240"/>
      <w:jc w:val="center"/>
    </w:pPr>
    <w:rPr>
      <w:rFonts w:ascii="Times New Roman" w:hAnsi="Times New Roman" w:eastAsia="Times New Roman" w:cs="Times New Roman"/>
      <w:b/>
      <w:color w:val="000000" w:themeColor="text1"/>
      <w:kern w:val="0"/>
      <w:sz w:val="24"/>
      <w:szCs w:val="22"/>
      <w:lang w:val="pl-PL" w:eastAsia="zh-CN" w:bidi="hi-IN"/>
    </w:rPr>
  </w:style>
  <w:style w:type="paragraph" w:styleId="TitleStyle">
    <w:name w:val="TitleStyle"/>
    <w:qFormat/>
    <w:pPr>
      <w:widowControl/>
      <w:bidi w:val="0"/>
      <w:spacing w:lineRule="auto" w:line="240"/>
      <w:jc w:val="left"/>
    </w:pPr>
    <w:rPr>
      <w:rFonts w:ascii="Times New Roman" w:hAnsi="Times New Roman" w:eastAsia="Times New Roman" w:cs="Times New Roman"/>
      <w:b/>
      <w:color w:val="000000" w:themeColor="text1"/>
      <w:kern w:val="0"/>
      <w:sz w:val="24"/>
      <w:szCs w:val="22"/>
      <w:lang w:val="pl-PL" w:eastAsia="zh-CN" w:bidi="hi-IN"/>
    </w:rPr>
  </w:style>
  <w:style w:type="paragraph" w:styleId="TitleCenterStyle">
    <w:name w:val="TitleCenterStyle"/>
    <w:qFormat/>
    <w:pPr>
      <w:widowControl/>
      <w:bidi w:val="0"/>
      <w:spacing w:lineRule="auto" w:line="240"/>
      <w:jc w:val="center"/>
    </w:pPr>
    <w:rPr>
      <w:rFonts w:ascii="Times New Roman" w:hAnsi="Times New Roman" w:eastAsia="Times New Roman" w:cs="Times New Roman"/>
      <w:b/>
      <w:color w:val="000000" w:themeColor="text1"/>
      <w:kern w:val="0"/>
      <w:sz w:val="24"/>
      <w:szCs w:val="22"/>
      <w:lang w:val="pl-PL" w:eastAsia="zh-CN" w:bidi="hi-IN"/>
    </w:rPr>
  </w:style>
  <w:style w:type="paragraph" w:styleId="NormalStyle">
    <w:name w:val="NormalStyle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 w:themeColor="text1"/>
      <w:kern w:val="0"/>
      <w:sz w:val="24"/>
      <w:szCs w:val="22"/>
      <w:lang w:val="pl-PL" w:eastAsia="zh-CN" w:bidi="hi-IN"/>
    </w:rPr>
  </w:style>
  <w:style w:type="paragraph" w:styleId="NormalSpacingStyle">
    <w:name w:val="NormalSpacingStyle"/>
    <w:qFormat/>
    <w:pPr>
      <w:widowControl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0" w:themeColor="text1"/>
      <w:kern w:val="0"/>
      <w:sz w:val="24"/>
      <w:szCs w:val="22"/>
      <w:lang w:val="pl-PL" w:eastAsia="zh-CN" w:bidi="hi-IN"/>
    </w:rPr>
  </w:style>
  <w:style w:type="paragraph" w:styleId="BoldStyle">
    <w:name w:val="BoldStyle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0" w:themeColor="text1"/>
      <w:kern w:val="0"/>
      <w:sz w:val="24"/>
      <w:szCs w:val="22"/>
      <w:lang w:val="pl-PL" w:eastAsia="zh-CN" w:bidi="hi-I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LibreOffice/6.0.1.1$Windows_X86_64 LibreOffice_project/60bfb1526849283ce2491346ed2aa51c465abfe6</Application>
  <Pages>6</Pages>
  <Words>2070</Words>
  <Characters>11370</Characters>
  <CharactersWithSpaces>13365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2023-06-22T13:23:56Z</dcterms:modified>
  <cp:revision>1</cp:revision>
  <dc:subject/>
  <dc:title/>
</cp:coreProperties>
</file>